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24" w:rsidRDefault="00F73524" w:rsidP="00EB5718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eastAsia="fr-FR"/>
        </w:rPr>
      </w:pPr>
    </w:p>
    <w:p w:rsidR="00EB5718" w:rsidRPr="00EB5718" w:rsidRDefault="007E1AE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116EFF">
        <w:rPr>
          <w:rFonts w:ascii="Calibri Light" w:eastAsia="Times New Roman" w:hAnsi="Calibri Light" w:cs="Calibri Light"/>
          <w:bCs/>
          <w:sz w:val="24"/>
          <w:szCs w:val="24"/>
          <w:lang w:eastAsia="fr-FR"/>
        </w:rPr>
        <w:t xml:space="preserve">Direction: </w:t>
      </w:r>
      <w:r w:rsidR="002B07B4" w:rsidRPr="00116EFF">
        <w:rPr>
          <w:rFonts w:ascii="Calibri Light" w:eastAsia="Times New Roman" w:hAnsi="Calibri Light" w:cs="Calibri Light"/>
          <w:bCs/>
          <w:sz w:val="24"/>
          <w:szCs w:val="24"/>
          <w:lang w:eastAsia="fr-FR"/>
        </w:rPr>
        <w:t>DILLENSCHNEIDER</w:t>
      </w:r>
      <w:r w:rsidR="001C4980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, DUPAU</w:t>
      </w:r>
    </w:p>
    <w:p w:rsidR="00EB5718" w:rsidRPr="00EB5718" w:rsidRDefault="00EB571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b/>
          <w:bCs/>
          <w:color w:val="FF3300"/>
          <w:sz w:val="24"/>
          <w:szCs w:val="24"/>
          <w:lang w:eastAsia="fr-FR"/>
        </w:rPr>
        <w:t>CFDT</w:t>
      </w: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 xml:space="preserve"> : </w:t>
      </w:r>
      <w:r w:rsidRPr="00F73524">
        <w:rPr>
          <w:rFonts w:ascii="Calibri Light" w:eastAsia="Times New Roman" w:hAnsi="Calibri Light" w:cs="Calibri Light"/>
          <w:b/>
          <w:color w:val="000000"/>
          <w:sz w:val="24"/>
          <w:szCs w:val="24"/>
          <w:lang w:eastAsia="fr-FR"/>
        </w:rPr>
        <w:t>Sylvain, Rachid</w:t>
      </w:r>
    </w:p>
    <w:p w:rsidR="00EB5718" w:rsidRPr="00EB5718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EB5718">
        <w:rPr>
          <w:rFonts w:ascii="Calibri Light" w:eastAsia="Times New Roman" w:hAnsi="Calibri Light" w:cs="Calibri Light"/>
          <w:color w:val="000000"/>
          <w:sz w:val="24"/>
          <w:szCs w:val="24"/>
          <w:lang w:eastAsia="fr-FR"/>
        </w:rPr>
        <w:t> </w:t>
      </w:r>
      <w:bookmarkStart w:id="0" w:name="_GoBack"/>
      <w:bookmarkEnd w:id="0"/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Direction : Rappel que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si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l’accord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ne reçoit pas l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es signatures suffisantes le régime d’autorité sera appliqué.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La participation I2S 2018 sera à 0.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Peut-être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en </w:t>
      </w:r>
      <w:r w:rsidR="007575D7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2019,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2020 … si les résultats le permettent.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Avenir : Ne souhaite pas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que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l’intéressement UES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soit lié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aux participations des différentes sociétés </w:t>
      </w:r>
      <w:proofErr w:type="gramStart"/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de UES</w:t>
      </w:r>
      <w:proofErr w:type="gramEnd"/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. S’inquiète que la Direction Générale veuille soustraire l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es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participation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de l’intéressement </w:t>
      </w:r>
      <w:r w:rsidR="007575D7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(et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rappel </w:t>
      </w:r>
      <w:r w:rsidR="007575D7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que seule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HR aura de la participation</w:t>
      </w:r>
      <w:r w:rsidR="007575D7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cette année !!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)</w:t>
      </w:r>
    </w:p>
    <w:p w:rsidR="00EB5718" w:rsidRPr="00F73524" w:rsidRDefault="005878A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D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emande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une formule dérogatoire 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au calcul minimal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du RSP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CFDT : Que propose la D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irection de plus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que le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cadre légal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?</w:t>
      </w:r>
    </w:p>
    <w:p w:rsidR="005878A8" w:rsidRPr="00F73524" w:rsidRDefault="005878A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</w:pPr>
    </w:p>
    <w:p w:rsidR="00EB5718" w:rsidRPr="00F73524" w:rsidRDefault="005878A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Direction :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La p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ossibilité de négocier la 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durée de blocage des fonds,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et 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échanger sur la répartition de la RSP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S3I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:</w:t>
      </w:r>
      <w:r w:rsidR="006D22BA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Demande une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RSP 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à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1/3 de l’intéressement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, avec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à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ramener dans la formule à - 2,5% du capital au lieu des -5% prévu par la loi.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AVENIR :</w:t>
      </w:r>
      <w:r w:rsidR="006D22BA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Combien êtes-vous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prêt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à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verser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pour la participation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afin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entamer des calculs ?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CFDT :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Rappel que les éléments fournis par la Direction sont i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nsuffisant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 pour négocier de manière loyale.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5878A8" w:rsidRPr="00F73524" w:rsidRDefault="00EB571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CGT :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L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c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hoix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du CSP </w:t>
      </w:r>
      <w:proofErr w:type="spellStart"/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Marcoussi</w:t>
      </w:r>
      <w:proofErr w:type="spellEnd"/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et ses conséquences pèsent sur les résultats d’I2S.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Certains frais du groupe sont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peut-être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supportés anormalement par I2S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!!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Propose de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re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discuter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la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formule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du RSP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CFDT :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Indique qu’il n’y a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pas de transparence des valeurs de la formule du RSP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Avenir :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Il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faut un minimum de participation pour accepter de négocier l’intéressement UES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i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la D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irection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verse 15% du bénéfice net, les salari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é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s seraient très </w:t>
      </w:r>
      <w:proofErr w:type="gramStart"/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satisfait</w:t>
      </w:r>
      <w:proofErr w:type="gramEnd"/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La Direction considère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au niveau SSG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que cette proposition est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intéressante mais elle n’a pas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l’intention d’y répondre favorablement.</w:t>
      </w:r>
    </w:p>
    <w:p w:rsidR="00EB5718" w:rsidRPr="00F73524" w:rsidRDefault="005878A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Demande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de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partir du bilan 2016 pour faire des simulations sur la RSP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5878A8" w:rsidRPr="00F73524" w:rsidRDefault="005878A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CFDT : Demande qu’un expert financier puisse nous apporter des explications et répondre à nos questions.</w:t>
      </w:r>
    </w:p>
    <w:p w:rsidR="005878A8" w:rsidRPr="00F73524" w:rsidRDefault="005878A8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</w:pP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D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irection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: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O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n peut prévoir un expert financier pour la prochaine réunion pour vous expliquer le résultat de la formule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en partant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du bilan 2016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Avenir : </w:t>
      </w:r>
      <w:r w:rsidR="005878A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Demande qu’on puisse réaliser des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projection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sur deux années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TU : 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Propose une répartition de la RSP suivant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3 tranches de salaires mais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n’est pas favorable que l’accord soit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à durée inséminée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D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irection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 : 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Souhaite quant à elle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un accord à durée indéterminé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révisable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</w:t>
      </w:r>
    </w:p>
    <w:p w:rsidR="00EB5718" w:rsidRPr="00F73524" w:rsidRDefault="00D74E80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CDFT : R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appelle le souhait de la D</w:t>
      </w:r>
      <w:r w:rsidR="006D22BA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irection de cal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er la signature de la 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participation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I2S 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sur la signature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de</w:t>
      </w:r>
      <w:r w:rsidR="00EB5718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l’intéressement UES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contrairement à qu’elle avait annoncé initialement (jusqu’au 31/12/2018).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 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AVENIR : 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R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efuse d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’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e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nvoyer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des revendications car 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la Direction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bloque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sur 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la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possibilité de négocier la formule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, et propose une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RSP = Bénéfice net / 10</w:t>
      </w:r>
      <w:r w:rsidR="00116EFF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 : é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quivalent à ce qui été versé en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intéressement</w:t>
      </w:r>
      <w:r w:rsidR="00D74E80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.</w:t>
      </w:r>
    </w:p>
    <w:p w:rsidR="00EB5718" w:rsidRPr="00F73524" w:rsidRDefault="00EB5718" w:rsidP="00EB571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Les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salariés des </w:t>
      </w:r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10 premières </w:t>
      </w:r>
      <w:proofErr w:type="gramStart"/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société</w:t>
      </w:r>
      <w:proofErr w:type="gramEnd"/>
      <w:r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 xml:space="preserve"> ENS </w:t>
      </w:r>
      <w:r w:rsidR="002B07B4" w:rsidRPr="00F73524">
        <w:rPr>
          <w:rFonts w:ascii="Calibri Light" w:eastAsia="Times New Roman" w:hAnsi="Calibri Light" w:cs="Calibri Light"/>
          <w:color w:val="000000"/>
          <w:sz w:val="20"/>
          <w:szCs w:val="20"/>
          <w:lang w:eastAsia="fr-FR"/>
        </w:rPr>
        <w:t>perçoivent de la participation !</w:t>
      </w:r>
    </w:p>
    <w:p w:rsidR="00D74E80" w:rsidRPr="00F73524" w:rsidRDefault="00D74E80" w:rsidP="00EB5718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fr-FR"/>
        </w:rPr>
        <w:t>Fin la réunion</w:t>
      </w:r>
    </w:p>
    <w:p w:rsidR="007E1AE8" w:rsidRPr="00F73524" w:rsidRDefault="00D74E80" w:rsidP="006D22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F73524">
        <w:rPr>
          <w:rFonts w:ascii="Calibri Light" w:eastAsia="Times New Roman" w:hAnsi="Calibri Light" w:cs="Calibri Light"/>
          <w:b/>
          <w:color w:val="000000"/>
          <w:sz w:val="20"/>
          <w:szCs w:val="20"/>
          <w:lang w:eastAsia="fr-FR"/>
        </w:rPr>
        <w:t xml:space="preserve">Prochaine réunion le 05/06 </w:t>
      </w:r>
    </w:p>
    <w:sectPr w:rsidR="007E1AE8" w:rsidRPr="00F73524" w:rsidSect="00F73524">
      <w:headerReference w:type="default" r:id="rId7"/>
      <w:pgSz w:w="11906" w:h="16838"/>
      <w:pgMar w:top="851" w:right="1418" w:bottom="851" w:left="1418" w:header="141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FB" w:rsidRDefault="00D672FB" w:rsidP="00F73524">
      <w:pPr>
        <w:spacing w:after="0" w:line="240" w:lineRule="auto"/>
      </w:pPr>
      <w:r>
        <w:separator/>
      </w:r>
    </w:p>
  </w:endnote>
  <w:endnote w:type="continuationSeparator" w:id="0">
    <w:p w:rsidR="00D672FB" w:rsidRDefault="00D672FB" w:rsidP="00F7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xure Handwriting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FB" w:rsidRDefault="00D672FB" w:rsidP="00F73524">
      <w:pPr>
        <w:spacing w:after="0" w:line="240" w:lineRule="auto"/>
      </w:pPr>
      <w:r>
        <w:separator/>
      </w:r>
    </w:p>
  </w:footnote>
  <w:footnote w:type="continuationSeparator" w:id="0">
    <w:p w:rsidR="00D672FB" w:rsidRDefault="00D672FB" w:rsidP="00F7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24" w:rsidRDefault="00F73524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2033905</wp:posOffset>
              </wp:positionH>
              <wp:positionV relativeFrom="paragraph">
                <wp:posOffset>-671195</wp:posOffset>
              </wp:positionV>
              <wp:extent cx="3627120" cy="769620"/>
              <wp:effectExtent l="0" t="0" r="11430" b="1143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769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524" w:rsidRPr="00F73524" w:rsidRDefault="00F73524" w:rsidP="00F73524">
                          <w:pPr>
                            <w:jc w:val="center"/>
                            <w:rPr>
                              <w:rFonts w:ascii="Axure Handwriting" w:hAnsi="Axure Handwriting"/>
                            </w:rPr>
                          </w:pPr>
                          <w:r w:rsidRPr="00F73524">
                            <w:rPr>
                              <w:rFonts w:ascii="Axure Handwriting" w:hAnsi="Axure Handwriting"/>
                              <w:b/>
                              <w:bCs/>
                              <w:color w:val="E15C12"/>
                              <w:sz w:val="28"/>
                              <w:szCs w:val="28"/>
                            </w:rPr>
                            <w:t xml:space="preserve">CR réunion de négociation </w:t>
                          </w:r>
                          <w:r w:rsidRPr="00F73524">
                            <w:rPr>
                              <w:rFonts w:ascii="Axure Handwriting" w:hAnsi="Axure Handwriting"/>
                              <w:b/>
                              <w:bCs/>
                              <w:color w:val="E15C12"/>
                              <w:sz w:val="28"/>
                              <w:szCs w:val="28"/>
                            </w:rPr>
                            <w:br/>
                            <w:t>Participation I2S du 29 mai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60.15pt;margin-top:-52.85pt;width:285.6pt;height:6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">
              <v:textbox>
                <w:txbxContent>
                  <w:p w:rsidR="00F73524" w:rsidRPr="00F73524" w:rsidRDefault="00F73524" w:rsidP="00F73524">
                    <w:pPr>
                      <w:jc w:val="center"/>
                      <w:rPr>
                        <w:rFonts w:ascii="Axure Handwriting" w:hAnsi="Axure Handwriting"/>
                      </w:rPr>
                    </w:pPr>
                    <w:r w:rsidRPr="00F73524">
                      <w:rPr>
                        <w:rFonts w:ascii="Axure Handwriting" w:hAnsi="Axure Handwriting"/>
                        <w:b/>
                        <w:bCs/>
                        <w:color w:val="E15C12"/>
                        <w:sz w:val="28"/>
                        <w:szCs w:val="28"/>
                      </w:rPr>
                      <w:t xml:space="preserve">CR réunion de négociation </w:t>
                    </w:r>
                    <w:r w:rsidRPr="00F73524">
                      <w:rPr>
                        <w:rFonts w:ascii="Axure Handwriting" w:hAnsi="Axure Handwriting"/>
                        <w:b/>
                        <w:bCs/>
                        <w:color w:val="E15C12"/>
                        <w:sz w:val="28"/>
                        <w:szCs w:val="28"/>
                      </w:rPr>
                      <w:br/>
                      <w:t>Participation I2S du 29 mai 2018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7DDBC1E" wp14:editId="60868E42">
          <wp:simplePos x="0" y="0"/>
          <wp:positionH relativeFrom="column">
            <wp:posOffset>-632460</wp:posOffset>
          </wp:positionH>
          <wp:positionV relativeFrom="paragraph">
            <wp:posOffset>-777875</wp:posOffset>
          </wp:positionV>
          <wp:extent cx="1950720" cy="971550"/>
          <wp:effectExtent l="0" t="0" r="0" b="0"/>
          <wp:wrapTight wrapText="bothSides">
            <wp:wrapPolygon edited="0">
              <wp:start x="0" y="0"/>
              <wp:lineTo x="0" y="21176"/>
              <wp:lineTo x="21305" y="21176"/>
              <wp:lineTo x="21305" y="0"/>
              <wp:lineTo x="0" y="0"/>
            </wp:wrapPolygon>
          </wp:wrapTight>
          <wp:docPr id="1" name="Image 1" descr="Logo F3C CFDT horizontal#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Logo F3C CFDT horizontal#9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524" w:rsidRDefault="00F7352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A1351"/>
    <w:multiLevelType w:val="multilevel"/>
    <w:tmpl w:val="5A62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D426DE"/>
    <w:multiLevelType w:val="multilevel"/>
    <w:tmpl w:val="BCA4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18"/>
    <w:rsid w:val="00116EFF"/>
    <w:rsid w:val="001C4980"/>
    <w:rsid w:val="00260F05"/>
    <w:rsid w:val="002B07B4"/>
    <w:rsid w:val="004D6174"/>
    <w:rsid w:val="005878A8"/>
    <w:rsid w:val="006D22BA"/>
    <w:rsid w:val="007575D7"/>
    <w:rsid w:val="007E1AE8"/>
    <w:rsid w:val="00A66E3B"/>
    <w:rsid w:val="00D672FB"/>
    <w:rsid w:val="00D74E80"/>
    <w:rsid w:val="00EB5718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C72367-65D7-4764-97D0-DB9162000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EB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7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3524"/>
  </w:style>
  <w:style w:type="paragraph" w:styleId="Pieddepage">
    <w:name w:val="footer"/>
    <w:basedOn w:val="Normal"/>
    <w:link w:val="PieddepageCar"/>
    <w:uiPriority w:val="99"/>
    <w:unhideWhenUsed/>
    <w:rsid w:val="00F73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SopraSteria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TOULOUM Rachid</dc:creator>
  <cp:keywords/>
  <dc:description/>
  <cp:lastModifiedBy>Hakima VILLARD</cp:lastModifiedBy>
  <cp:revision>3</cp:revision>
  <dcterms:created xsi:type="dcterms:W3CDTF">2018-06-06T16:51:00Z</dcterms:created>
  <dcterms:modified xsi:type="dcterms:W3CDTF">2018-06-06T17:01:00Z</dcterms:modified>
</cp:coreProperties>
</file>